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015"/>
        <w:gridCol w:w="992"/>
        <w:gridCol w:w="709"/>
        <w:gridCol w:w="992"/>
        <w:gridCol w:w="709"/>
        <w:gridCol w:w="709"/>
        <w:gridCol w:w="992"/>
        <w:gridCol w:w="2536"/>
      </w:tblGrid>
      <w:tr w:rsidR="00697D69" w:rsidRPr="00603FAE" w:rsidTr="008A75B6">
        <w:trPr>
          <w:trHeight w:val="990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wordWrap w:val="0"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序號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wordWrap w:val="0"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藥品名稱（活性成分）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wordWrap w:val="0"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企業名稱（持證商）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wordWrap w:val="0"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首次批准地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wordWrap w:val="0"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歐美日首次批准日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wordWrap w:val="0"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治療領域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wordWrap w:val="0"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治療靶點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wordWrap w:val="0"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適應症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wordWrap w:val="0"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擬列為臨床急需原因</w:t>
            </w:r>
          </w:p>
        </w:tc>
      </w:tr>
      <w:tr w:rsidR="00697D69" w:rsidRPr="00603FAE" w:rsidTr="008A75B6">
        <w:trPr>
          <w:trHeight w:val="1162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Alectinib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Hydrochloride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Chugai Pharmaceutical Co., Ltd.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日本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2014/7/4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腫瘤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ALK,RET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間變性淋巴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瘤激酶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ALK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）陽性非小細胞肺癌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非小細胞肺癌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第三代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ALK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激酶抑制劑，對現有治療克唑替尼耐藥患者仍有效，與克唑替尼比較的研究顯示本品可顯著延長無進展生存時間（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25.7vs10.4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），有突出優勢。</w:t>
            </w:r>
          </w:p>
        </w:tc>
      </w:tr>
      <w:tr w:rsidR="00697D69" w:rsidRPr="00603FAE" w:rsidTr="008A75B6">
        <w:trPr>
          <w:trHeight w:val="18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Pembrolizumab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Merck Sharp &amp; Dohme Corp.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2014/9/4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腫瘤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PD-1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晚期黑色素瘤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轉移性黑色素瘤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非小細胞肺癌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頭頸癌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 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黑色素瘤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美國首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個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批准的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PD-1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抑制劑，在多個腫瘤中均顯示了療效，尤其在非小細胞肺癌一、二線治療均證實了長期生存獲益</w:t>
            </w:r>
          </w:p>
        </w:tc>
      </w:tr>
      <w:tr w:rsidR="00697D69" w:rsidRPr="00603FAE" w:rsidTr="008A75B6">
        <w:trPr>
          <w:trHeight w:val="27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Olaparib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AstraZeneca 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歐盟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2014/12/16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腫瘤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PARP-1,PARP-2,PARP-3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晚期卵巢癌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原發性腹膜癌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輸卵管癌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上皮性卵巢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,BRCA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突變的晚期卵巢癌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卵巢癌為常見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婦科腫瘤，晚期疾病以化療為主。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Olaparib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為全球首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個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開發的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PARP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抑制劑，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期研究顯示相對安慰劑組，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Olaparib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可明顯延長無進展生存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(19.1vs5.5).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基於突出的臨床優勢，國外批准用於復發的鉑敏感復發性卵巢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上皮癌的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維持治療，目前中國尚無藥物批准用於該人群，存在明確臨床需求。</w:t>
            </w:r>
          </w:p>
        </w:tc>
      </w:tr>
      <w:tr w:rsidR="00697D69" w:rsidRPr="00603FAE" w:rsidTr="008A75B6">
        <w:trPr>
          <w:trHeight w:val="423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Evolocumab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Amgen Europe B.V.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歐盟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2015/7/15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心腦血管疾病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PCSK9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高膽固醇血症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純合子型家族性高膽固醇血症是一種遺傳性疾病，屬罕見病，並可威脅生命。早期發現診斷和治療是關鍵。多種他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汀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類藥物和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依折麥布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已有治療純合子型家族性高膽固醇血症（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HoFH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）的適應症，但是，由於該類患者基線血脂水準特別高，現有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的降脂療法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無法滿足本適應症患者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的降脂需求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，故目前對於本適應症尚無有效治療手段。已有臨床研究顯示，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evolocumab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是治療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HoFH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的一種選擇，可為該類患者提供額外的降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LDL-C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的治療手段。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Evolocumab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是目前全球範圍內唯一被批准可用於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HoFH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的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PCSK9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抑制劑。</w:t>
            </w:r>
          </w:p>
        </w:tc>
      </w:tr>
      <w:tr w:rsidR="00697D69" w:rsidRPr="00603FAE" w:rsidTr="008A75B6">
        <w:trPr>
          <w:trHeight w:val="103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Siltuximab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Janssen Biotech, Inc.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2014/4/23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免疫系統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IL-6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多中心卡斯特萊曼病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罕見病用藥</w:t>
            </w:r>
          </w:p>
        </w:tc>
      </w:tr>
      <w:tr w:rsidR="00697D69" w:rsidRPr="00603FAE" w:rsidTr="008A75B6">
        <w:trPr>
          <w:trHeight w:val="4091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Elosulfase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Alfa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Biomarin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Pharmaceutical Inc.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2014/2/14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內分泌和代謝病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C6S,KS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IVA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型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黏多糖貯積症</w:t>
            </w:r>
            <w:proofErr w:type="gramEnd"/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MPS IVA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是罕見疾病。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MPS IVA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是一種遺傳疾病，由於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體內降解糖胺聚糖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GAG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）的溶酶體酶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N-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乙醯半乳糖胺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-6-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硫酸酯酶（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GALNS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）缺失或活性不足，造成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GAG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及其代謝物硫酸角質素（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KS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6-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硫酸軟骨素在多器官和組織內逐漸貯積，進而導致器官功能減退。最常見特徵為進展性骨骼發育不良、頻繁手術以及活動能力、呼吸功能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受限和早期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死亡。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MPS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的治療主要有骨髓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移植或造血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幹細胞移植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、酶替代治療。現目前中國尚無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MPS IVA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治療藥物或酶替代等治療方法，本品是唯一一種適用于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MPS IVA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患者疾病緩解的藥物，屬臨床急需。</w:t>
            </w:r>
          </w:p>
        </w:tc>
      </w:tr>
      <w:tr w:rsidR="00697D69" w:rsidRPr="00603FAE" w:rsidTr="008A75B6">
        <w:trPr>
          <w:trHeight w:val="3318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Selexipag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ActelionPharmaceuticalsLtd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2015/12/21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呼吸系統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IPreceptor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肺動脈高壓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肺動脈高壓是一種嚴重威脅生命的疾病，其中特發性肺動脈高壓屬於罕見病。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目前國內已經上市的用於成人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PAH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的特異性治療藥物僅有：吸入用伊洛前列素溶液、波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生坦片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、安立生坦片和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曲前列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尼爾注射液、馬昔滕坦片和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利奧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西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胍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片，但臨床仍存在未被滿足的需求。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本品已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有研究顯示用於治療肺動脈高壓（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PAH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WHO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第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組）以延緩疾病進展及降低因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PAH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而住院的風險。為臨床提供更多選擇。</w:t>
            </w:r>
          </w:p>
        </w:tc>
      </w:tr>
      <w:tr w:rsidR="00697D69" w:rsidRPr="00603FAE" w:rsidTr="008A75B6">
        <w:trPr>
          <w:trHeight w:val="268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Brodalumab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Kyowa Hakko Kirin Co., Ltd.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日本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2016/7/4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皮膚疾病；免疫系統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IL17RA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尋常型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銀屑病關節炎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紅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皮病型銀屑病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膿皰型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斑塊狀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</w:t>
            </w:r>
            <w:proofErr w:type="gramEnd"/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銀屑病是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一種慢性、復發性、免疫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介導多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系統疾患，降低患者生活治療，嚴重的致殘。皮膚病變的類別為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紅皮型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，表明其同時涉及脈管系統（紅斑）和表皮（鱗屑形成增多）。傳統藥物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甲氨蝶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呤（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MTX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阿維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、環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孢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素及其他藥物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存在多種潛在毒性。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本品國外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研究中被證明具有治療效果並且耐受性良好，目前國內暫無此作用機制藥物上市用於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銀屑病治療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697D69" w:rsidRPr="00603FAE" w:rsidTr="008A75B6">
        <w:trPr>
          <w:trHeight w:val="118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Eculizumab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歐盟：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Alexion Europe SAS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；美國：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Alexion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歐盟；美國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2007/6/20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血液系統疾病；泌尿生殖系統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歐盟：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C5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；美國：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EpoR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歐盟：陣發性睡眠性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血紅蛋白尿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症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非典型溶血尿毒綜合征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  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美國：貧血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罕見病用藥</w:t>
            </w:r>
          </w:p>
        </w:tc>
      </w:tr>
      <w:tr w:rsidR="00697D69" w:rsidRPr="00603FAE" w:rsidTr="008A75B6">
        <w:trPr>
          <w:trHeight w:val="3241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Canakinumab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Novartis Pharmaceuticals Corporation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2009/6/17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免疫系統疾病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IL-1&amp;beta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系統性幼年特發性關節炎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冷吡啉相關的週期性綜合征，高免疫球蛋白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綜合征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家族性地中海熱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腫瘤壞死因數受體相關週期性綜合症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關節炎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冷吡啉相關的週期性綜合征是罕見病，為遺傳性炎性疾病，包括家族性寒冷型自身炎症綜合征、穆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韋二氏綜合征、新生兒多系統炎症綜合征等。主要表現為皮疹、發熱、關節痛、肌痛等。病情日益加重在中國目前無有效治療藥物，臨床急需。目前國內缺乏有效治療藥物</w:t>
            </w:r>
          </w:p>
        </w:tc>
      </w:tr>
      <w:tr w:rsidR="00697D69" w:rsidRPr="00603FAE" w:rsidTr="008A75B6">
        <w:trPr>
          <w:trHeight w:val="2820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Denosumab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Amgen Europe B.V.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歐盟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2010/5/26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腫瘤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RANKL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骨轉移性實體瘤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骨癌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實體瘤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巨骨細胞瘤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多發性骨髓瘤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高鈣血症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類風濕性關節炎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骨質疏鬆症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骨巨細胞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瘤發病率低，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3/100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萬，好發於青壯年，對手術切除可能導致嚴重功能障礙的患者以及不可切除的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中軸骨病變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患者確無有效的治療手段，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Denosumab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國外研究顯示達到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70%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以上的腫瘤緩解率</w:t>
            </w:r>
          </w:p>
        </w:tc>
      </w:tr>
      <w:tr w:rsidR="00697D69" w:rsidRPr="00603FAE" w:rsidTr="008A75B6">
        <w:trPr>
          <w:trHeight w:val="1208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Fingolimod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Hcl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Ora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Lcapsules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Novartis Pharmaceuticals Corp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2010/9/21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免疫系統疾病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S1PR1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；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S1PR3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；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S1PR5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；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S1PR4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多發性硬化症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罕見病用藥</w:t>
            </w:r>
          </w:p>
        </w:tc>
      </w:tr>
      <w:tr w:rsidR="00697D69" w:rsidRPr="00603FAE" w:rsidTr="008A75B6">
        <w:trPr>
          <w:trHeight w:val="722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Teriflunomide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2012/9/12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神經系統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DHODH,MMP-9,MMP-2,MMP-3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多發性硬化症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罕見病用藥</w:t>
            </w:r>
          </w:p>
        </w:tc>
      </w:tr>
      <w:tr w:rsidR="00697D69" w:rsidRPr="00603FAE" w:rsidTr="008A75B6">
        <w:trPr>
          <w:trHeight w:val="2441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Ponatinib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Ariad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Pharmaceuticals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2012/12/14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腫瘤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EPH receptor,FGFR,Src,VEGFR,Kit,FLT-3,PDGFR,VEGFR,TIE2,RET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慢性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髓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細胞性白血病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急性淋巴細胞白血病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白血病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Ponatinib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為第三代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Bcr-Abl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激酶靶向抑制劑，對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T315I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突變型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Bcr-Abl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激酶具有高效特異性抑制作用，可有效解決現有以伊馬替尼為代表的靶向抑制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Bcr-Abl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激酶的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CML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治療藥物普遍存在的、因激酶突變引起耐藥性的缺陷。</w:t>
            </w:r>
          </w:p>
        </w:tc>
      </w:tr>
      <w:tr w:rsidR="00697D69" w:rsidRPr="00603FAE" w:rsidTr="008A75B6">
        <w:trPr>
          <w:trHeight w:val="5084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Vedolizumab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Takeda Pharmaceuticals U.S.A., Inc.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2014/5/20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消化系統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Integrin &amp;alpha;4&amp;beta;7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潰瘍性結腸炎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克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羅恩氏病</w:t>
            </w:r>
            <w:proofErr w:type="gramEnd"/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克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羅恩病是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一種原因不明的腸道炎症性疾病。該疾病病因不明，病情常有反復，急性重症病症預後較差，近期死亡率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3%-10%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左右。目前尚無根治療法，主要為支持療法和對症治療，主要為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SASP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、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5-ASA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、腎上腺皮質激素、硫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唑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嘌呤、環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孢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素等。潰瘍性結腸炎是一種原因不明的慢性結腸炎，病程漫長反復發作，合併結腸穿孔，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病死率高達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20%-50%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，目前的治療藥物包括症治療，主要為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SASP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、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5-ASA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、腎上腺皮質激素、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ACTH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。該品種抑制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的靶點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，在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UC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介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導炎症過程發揮重要作用，因此該品種為病因治療，具有較好的有效性和安全性，具有一定臨床優勢，為臨床提供選擇。</w:t>
            </w:r>
          </w:p>
        </w:tc>
      </w:tr>
      <w:tr w:rsidR="00697D69" w:rsidRPr="00603FAE" w:rsidTr="008A75B6">
        <w:trPr>
          <w:trHeight w:val="1144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Eliglustat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Genzyme Corp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2014/8/19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內分泌和代謝病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UGCG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戈謝病</w:t>
            </w:r>
            <w:proofErr w:type="gramEnd"/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罕見病用藥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用於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型戈謝氏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病患者，臨床急需。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本品為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第二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代底物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清除療法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SRT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產品，用於更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廣泛的戈謝氏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病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型患者。</w:t>
            </w:r>
          </w:p>
        </w:tc>
      </w:tr>
      <w:tr w:rsidR="00697D69" w:rsidRPr="00603FAE" w:rsidTr="008A75B6">
        <w:trPr>
          <w:trHeight w:val="24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Secukinumab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Novartis Pharma K.K.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日本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2014/12/26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皮膚疾病；免疫系統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IL-17A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銀屑病關節炎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強直性脊柱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炎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銀屑病是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一種慢性、復發性、免疫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介導多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系統疾患，降低患者生活品質，嚴重的致殘。傳統藥物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甲氨蝶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呤（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MTX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阿維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、環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孢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素及其他藥物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存在多種潛在毒性。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本品國外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研究中被證明具有治療效果並且耐受性良好，目前國內暫無此作用機制藥物上市用於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銀屑病治療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697D69" w:rsidRPr="00603FAE" w:rsidTr="008A75B6">
        <w:trPr>
          <w:trHeight w:val="686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Palbociclib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PfizerInc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2015/2/3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腫瘤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CDK4; CDK6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乳腺癌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全球首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個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上市的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CDK4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、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抑制劑，在全球臨床試驗中顯示出了突出的臨床獲益</w:t>
            </w:r>
          </w:p>
        </w:tc>
      </w:tr>
      <w:tr w:rsidR="00697D69" w:rsidRPr="00603FAE" w:rsidTr="008A75B6">
        <w:trPr>
          <w:trHeight w:val="309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Ixekizumab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ELILILLYANDCOMPANY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2016/3/22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皮膚病；免疫系統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IL-17A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斑塊狀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 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銀屑病關節炎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紅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皮病型銀屑病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膿皰型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尋常型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</w:t>
            </w:r>
            <w:proofErr w:type="gramEnd"/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銀屑病是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一種慢性、復發性、免疫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介導多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系統疾患，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銀屑病是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一種慢性、復發性、免疫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介導多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系統疾患。中至重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度銀屑病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可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降低降低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生活品質甚至致殘，傳統藥物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甲氨蝶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呤（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MTX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阿維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、環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孢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素及其他藥物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存在多種潛在毒性。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本品國外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研究中被證明具有治療效果並且耐受性良好，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本品為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IL-17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單抗藥物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，對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IL-17A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具有較高的親和力和特異性。目前國內暫無此作用機制藥物上市用於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銀屑病治療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697D69" w:rsidRPr="00603FAE" w:rsidTr="008A75B6">
        <w:trPr>
          <w:trHeight w:val="2390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Enasidenib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mesylate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CELGENECORP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2017/8/1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腫瘤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IDH2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急性骨髓性白血病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Enasidenib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是全球首個批准的針對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IDH2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突變的成人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 AML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患者的藥物，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IDH2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突變在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AML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中大約占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17%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。對於復發難治的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AML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目前尚無標準的有效治療，國外研究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顯示本品在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具有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IDH2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突變的復發難治的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AML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中獲得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23%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的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完全緩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解率和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8.2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個月的緩解持續時間。</w:t>
            </w:r>
          </w:p>
        </w:tc>
      </w:tr>
      <w:tr w:rsidR="00697D69" w:rsidRPr="00603FAE" w:rsidTr="008A75B6">
        <w:trPr>
          <w:trHeight w:val="240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Icatibant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Shire Orphan Therapies GmbH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歐盟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2008/7/11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心腦血管疾病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BDKRB2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遺傳性血管性水腫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遺傳性血管水腫是一種罕見、嚴重的常染色體顯性遺傳病，預計患病率為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1/50000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。在臨床上，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HAE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患者會出現可累及多個解剖學部位（包括胃腸道、面部組織、聲帶和喉頭、口咽、泌尿生殖區域和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或雙臂和雙腿）的軟組織水腫復發性急性發作。喉部發作可因窒息之風險而危及生命。目前尚無有效治療手段。</w:t>
            </w:r>
          </w:p>
        </w:tc>
      </w:tr>
      <w:tr w:rsidR="00697D69" w:rsidRPr="00603FAE" w:rsidTr="008A75B6">
        <w:trPr>
          <w:trHeight w:val="51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Dalfampridine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Acorda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Therapeutics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2010/1/22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免疫系統疾病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Potassium channel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多發性硬化症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罕見病用藥</w:t>
            </w:r>
          </w:p>
        </w:tc>
      </w:tr>
      <w:tr w:rsidR="00697D69" w:rsidRPr="00603FAE" w:rsidTr="008A75B6">
        <w:trPr>
          <w:trHeight w:val="152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Vismodegib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Genentech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2012/1/30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腫瘤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基底細胞癌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基底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細胞癌為最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常見的皮膚惡性腫瘤。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Vismodegib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為全球首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個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上市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hedgehog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通路抑制劑，首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個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被批准用於治療基底細胞癌的藥物。國外研究顯示在無有效治療的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轉移性基底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細胞癌患者中可達到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43%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的腫瘤緩解率</w:t>
            </w:r>
          </w:p>
        </w:tc>
      </w:tr>
      <w:tr w:rsidR="00697D69" w:rsidRPr="00603FAE" w:rsidTr="008A75B6">
        <w:trPr>
          <w:trHeight w:val="1891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Apremilast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Celgene Corp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2014/3/21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免疫系統；皮膚病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PDE4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銀屑病關節炎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 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</w:t>
            </w:r>
            <w:proofErr w:type="gramEnd"/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銀屑病是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一種慢性、復發性、免疫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介導多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系統疾患。中至重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度銀屑病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可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降低降低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生活品質甚至致殘，傳統藥物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甲氨蝶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呤（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MTX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阿維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、環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孢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素及其他藥物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有效性有限且存在多種潛在毒性。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本品國外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研究中被證明具有治療效果並且耐受性良好。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本品為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口服途徑給藥，全新的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作用靶點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。目前國內暫無此作用機制藥物上市用於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銀屑病治療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697D69" w:rsidRPr="00603FAE" w:rsidTr="008A75B6">
        <w:trPr>
          <w:trHeight w:val="182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Rilonacept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Regeneron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免疫系統疾病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IL-1&amp;alpha;,IL-1&amp;beta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冷吡啉相關的週期性綜合征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穆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韋二氏綜合征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家族性寒冷型自身炎症綜合征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家族性乳糜微粒血症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冷吡啉相關的週期性綜合征是罕見病，為遺傳性炎性疾病，包括家族性寒冷型自身炎症綜合征、穆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韋二氏綜合征、新生兒多系統炎症綜合征等。主要表現為皮疹、發熱、關節痛、肌痛等。病情日益加重在中國目前無有效治療藥物，臨床急需。</w:t>
            </w:r>
          </w:p>
        </w:tc>
      </w:tr>
      <w:tr w:rsidR="00697D69" w:rsidRPr="00603FAE" w:rsidTr="008A75B6">
        <w:trPr>
          <w:trHeight w:val="97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Tetrabenazine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Prestwick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2008/8/15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精神障礙；神經系統疾病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VMAT2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亨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廷頓氏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舞蹈症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亨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廷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頓舞蹈症是一種罕見的常染色體顯性遺傳病，目前無有效治療手段。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本品為氘代丁苯那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嗪，已有臨床研究顯示，本品用於治療亨廷頓舞蹈症具有明確的療效。</w:t>
            </w:r>
          </w:p>
        </w:tc>
      </w:tr>
      <w:tr w:rsidR="00697D69" w:rsidRPr="00603FAE" w:rsidTr="008A75B6">
        <w:trPr>
          <w:trHeight w:val="1276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Ecallantide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Dyax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Corp.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2009/12/1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血液系統疾病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KLKB1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遺傳性血管性水腫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遺傳性血管水腫是一種罕見、嚴重的常染色體顯性遺傳病，預計患病率為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1/50000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。在臨床上，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HAE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患者會出現可累及多個解剖學部位（包括胃腸道、面部組織、聲帶和喉頭、口咽、泌尿生殖區域和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或雙臂和雙腿）的軟組織水腫復發性急性發作。喉部發作可因窒息之風險而危及生命。目前尚無有效治療手段。</w:t>
            </w:r>
          </w:p>
        </w:tc>
      </w:tr>
      <w:tr w:rsidR="00697D69" w:rsidRPr="00603FAE" w:rsidTr="008A75B6">
        <w:trPr>
          <w:trHeight w:val="491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Velaglucerase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Alfa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Shire Human Genetic Therapies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2010/2/26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內分泌和代謝疾病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Glucosylceramidase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replacements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戈謝病</w:t>
            </w:r>
            <w:proofErr w:type="gramEnd"/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戈謝病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Gaucher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disease)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是屬罕見病，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為溶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酶體貯積病，為常染色體隱性遺傳病。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戈謝病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主要分為非神經病變型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(I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型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及神經病變型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603FA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Ⅱ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型及</w:t>
            </w:r>
            <w:r w:rsidRPr="00603FA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Ⅲ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型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。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該病由於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葡萄糖腦苷脂酶基因突變導致機體葡萄糖腦苷脂酶活性缺乏，造成其底物葡萄糖腦苷脂在肝、脾、骨骼、肺，甚至腦的巨噬細胞溶酶體中貯積，形成典型的貯積細胞即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戈謝細胞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，導致受累組織器官出現病變，臨床表現多臟器受累並進行性加重。目前治療有兩種：酶替代療法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 (ERT)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及底物清除療法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 (SRT)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。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伊米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苷酶是目前國內唯一可獲得的戈謝病特異性治療藥物，為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型戈謝病治療藥物。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本品屬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酶替代療法，用於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型戈謝病，臨床急需。</w:t>
            </w:r>
          </w:p>
        </w:tc>
      </w:tr>
      <w:tr w:rsidR="00697D69" w:rsidRPr="00603FAE" w:rsidTr="008A75B6">
        <w:trPr>
          <w:trHeight w:val="67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Tafamidis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Pfizer Ltd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歐盟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2011/11/16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神經系統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TTR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轉甲狀腺素蛋白家族性澱粉樣多發性神經病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甲狀腺素運載蛋白澱粉樣變性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轉甲狀腺素蛋白家族性澱粉樣多發性神經病為一種罕見病，由於基因突變而導致常染色體顯性遺傳的澱粉樣變性疾病。目前無有效治療手段。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FDA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EMA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因其可延緩神經損害優於安慰劑，批准其上市。</w:t>
            </w:r>
          </w:p>
        </w:tc>
      </w:tr>
      <w:tr w:rsidR="00697D69" w:rsidRPr="00603FAE" w:rsidTr="008A75B6">
        <w:trPr>
          <w:trHeight w:val="914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Taliglucerase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Alfa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Pfizer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2012/5/10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內分泌和代謝病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Glucosylceramide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戈謝病</w:t>
            </w:r>
            <w:proofErr w:type="gramEnd"/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戈謝病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Gaucher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disease)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是屬罕見病，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為溶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酶體貯積病，為常染色體隱性遺傳病。目前治療有兩種：酶替代療法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 (ERT)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及底物清除療法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 (SRT)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。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本品用於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型戈謝病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長期酶替代治療藥物，臨床急需。</w:t>
            </w:r>
          </w:p>
        </w:tc>
      </w:tr>
      <w:tr w:rsidR="00697D69" w:rsidRPr="00603FAE" w:rsidTr="008A75B6">
        <w:trPr>
          <w:trHeight w:val="196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Lomitapide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Aegerion Pharmaceuticals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2012/12/21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心腦血管疾病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MTP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純合子家族性高膽固醇血症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高膽固醇血症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純合子型家族性高膽固醇血症是一種遺傳性疾病，屬罕見病，並可威脅生命。早期發現診斷和治療是關鍵。多種他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汀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類藥物和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依折麥布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已有治療純合子型家族性高膽固醇血症（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HoFH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）的適應症，但是，由於該類患者基線血脂水準特別高，現有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的降脂療法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無法滿足本適應症患者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的降脂需求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，故目前對於本適應症尚無有效治療手段。已有臨床研究顯示，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本品用於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治療本適應症有效性明確。</w:t>
            </w:r>
          </w:p>
        </w:tc>
      </w:tr>
      <w:tr w:rsidR="00697D69" w:rsidRPr="00603FAE" w:rsidTr="008A75B6">
        <w:trPr>
          <w:trHeight w:val="1657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Mipomersen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Sodium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Genzyme Corp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2013/1/29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心腦血管疾病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APOB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純合子家族性高膽固醇血症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純合子型家族性高膽固醇血症是一種遺傳性疾病，屬罕見病，並可威脅生命。早期發現診斷和治療是關鍵。多種他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汀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類藥物和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依折麥布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已有治療純合子型家族性高膽固醇血症（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HoFH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）的適應症，但是，由於該類患者基線血脂水準特別高，現有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的降脂療法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無法滿足本適應症患者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的降脂需求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，故目前對於本適應症尚無有效治療手段。已有臨床研究顯示，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本品用於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治療本適應症有效性明確。</w:t>
            </w:r>
          </w:p>
        </w:tc>
      </w:tr>
      <w:tr w:rsidR="00697D69" w:rsidRPr="00603FAE" w:rsidTr="008A75B6">
        <w:trPr>
          <w:trHeight w:val="49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Dinutuximab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UnitedTherapeuticsCorporation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2015/3/10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腫瘤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GD2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神經母細胞瘤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神經母細胞瘤發病率低，多發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于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兒童。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Dinutuximab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是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FDA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首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個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批准的針對高風險性的神經母細胞瘤的治療藥物。</w:t>
            </w:r>
          </w:p>
        </w:tc>
      </w:tr>
      <w:tr w:rsidR="00697D69" w:rsidRPr="00603FAE" w:rsidTr="008A75B6">
        <w:trPr>
          <w:trHeight w:val="123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Sonidegib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NovartisPharmaceuticalsCorp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2015/7/24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腫瘤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基底細胞癌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基底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細胞癌為最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常見的皮膚癌。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Sonidegib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為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hedgehog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通路抑制劑，具有新的作用機制，在國外研究中顯示對於既往治療後復發的患者具有較高療效（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ORR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58%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697D69" w:rsidRPr="00603FAE" w:rsidTr="008A75B6">
        <w:trPr>
          <w:trHeight w:val="660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Olaratumab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禮來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2016/10/19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腫瘤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軟組織肉瘤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軟組織肉瘤發病率低，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2.63/10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萬，預後差，晚期患者中位生存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年左右，缺乏有效治療藥物。國外研究顯示在現有化療基礎上聯合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Olaratumab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可顯著延長生存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26.5vs14.7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月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697D69" w:rsidRPr="00603FAE" w:rsidTr="008A75B6">
        <w:trPr>
          <w:trHeight w:val="227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Nusinersen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BIOGENIDECINC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2016/12/23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肌肉骨骼系統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SMN2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脊髓性肌萎縮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罕見病用藥</w:t>
            </w:r>
          </w:p>
        </w:tc>
      </w:tr>
      <w:tr w:rsidR="00697D69" w:rsidRPr="00603FAE" w:rsidTr="008A75B6">
        <w:trPr>
          <w:trHeight w:val="1060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Deutetrabenazine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TEVABRANDEDPHARM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2017/4/3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肌肉骨骼系統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VMAT2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遲發性運動障礙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亨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廷頓氏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舞蹈症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亨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廷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頓舞蹈症是一種罕見的常染色體顯性遺傳病，目前無有效治療手段。具體作用機制不詳，但被認為與它可逆的單胺耗竭作用有關。已有臨床研究顯示，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本品用於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治療本適應症有效性明確。</w:t>
            </w:r>
          </w:p>
        </w:tc>
      </w:tr>
      <w:tr w:rsidR="00697D69" w:rsidRPr="00603FAE" w:rsidTr="008A75B6">
        <w:trPr>
          <w:trHeight w:val="68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Dinutuximab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Beta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EUSA Pharma (UK) Limited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歐盟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2017/5/8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腫瘤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GD2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神經母細胞瘤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神經母細胞瘤發病率低，多發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于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兒童患者。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Dinutuximab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beta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是歐盟首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個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批准的針對高風險性的神經母細胞瘤的治療藥物。在復發難治的神經母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細胞瘤中顯示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了療效</w:t>
            </w:r>
          </w:p>
        </w:tc>
      </w:tr>
      <w:tr w:rsidR="00697D69" w:rsidRPr="00603FAE" w:rsidTr="008A75B6">
        <w:trPr>
          <w:trHeight w:val="1847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Recombinant Human Nerve Growth Factor (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Rhngf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Dompe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farmaceutici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s.p.a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歐盟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2017/7/6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眼部疾病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NGFR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角膜炎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神經營養性角膜炎是角膜上皮癒合障礙的一種變性疾病。它的特徵是角膜感覺缺失，形成大面積的角膜上皮缺失和潰瘍、潰瘍進展嚴重的可造成角膜穿孔。由於神經營養性角膜炎患者數量少，該疾病被視為罕見病。目前國內缺乏有效治療。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本品含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活性成分重組人神經生長因數，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2015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年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月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日被歐盟認定為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孤兒藥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（用於罕見病的藥物）。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本品可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幫助恢復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眼部的正常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癒合過程，並修復角膜的損傷。</w:t>
            </w:r>
          </w:p>
        </w:tc>
      </w:tr>
      <w:tr w:rsidR="00697D69" w:rsidRPr="00603FAE" w:rsidTr="008A75B6">
        <w:trPr>
          <w:trHeight w:val="2704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Guselkumab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JANSSENBIOTECH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2017/7/13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皮膚病；免疫系統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IL23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紅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皮病型銀屑病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斑塊狀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膿皰型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 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銀屑病關節炎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尋常型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</w:t>
            </w:r>
            <w:proofErr w:type="gramEnd"/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銀屑病是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一種慢性、復發性、免疫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介導多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系統疾患，皮膚病變的類別為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紅皮型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，表明其同時涉及脈管系統（紅斑）和表皮（鱗屑形成增多）。傳統藥物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甲氨蝶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呤（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MTX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阿維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、環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孢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素及其他藥物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存在多種潛在毒性。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本品國外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研究中被證明具有治療效果並且耐受性良好，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本品為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IL-23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單抗藥物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，國外大型臨床試驗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證實本品安全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有效。目前國內暫無此作用機制藥物上市用於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銀屑病治療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697D69" w:rsidRPr="00603FAE" w:rsidTr="008A75B6">
        <w:trPr>
          <w:trHeight w:val="824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Vestronidase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Alfa-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Vjbk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ULTRAGENYXPHARMINC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2017/11/15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內分泌和代謝病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VII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型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黏多糖貯積症</w:t>
            </w:r>
            <w:proofErr w:type="gramEnd"/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黏多糖貯積症屬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罕見病，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本品為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重組人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β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葡糖醛酸糖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苷酶，為酶替代療法。用於治療兒童和成人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VII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型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黏多糖貯積症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。國內缺乏有效藥物。</w:t>
            </w:r>
          </w:p>
        </w:tc>
      </w:tr>
      <w:tr w:rsidR="00697D69" w:rsidRPr="00603FAE" w:rsidTr="008A75B6">
        <w:trPr>
          <w:trHeight w:val="486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Shingrix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Zoster Vaccine Recombinant,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Adjuvanted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GlaxoSmithKline Biologicals Rue de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l"Institut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89, B1330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Rixensart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, Belgium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Lic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# 1617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2017/10/20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感染性疾病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帶狀皰疹病毒疫苗（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歲以上成人）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帶狀皰疹為病毒感染性疾病，皮疹一般有單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側性和按神經節段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分佈的特點，由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集簇性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的皰疹組成，並伴有疼痛；年齡愈大，神經痛愈重。帶狀皰疹治療後的後遺神經痛，是劇烈的頑固性的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疼痛，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嚴重影響患者的生活。本疫苗可預防帶狀皰疹的發病。</w:t>
            </w:r>
          </w:p>
        </w:tc>
      </w:tr>
      <w:tr w:rsidR="00697D69" w:rsidRPr="00603FAE" w:rsidTr="008A75B6">
        <w:trPr>
          <w:trHeight w:val="118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Luxturna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Voretigene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Neparvovec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Spark Therapeutics, Inc. 3737 Market Street, Suite 1300, Philadelphia, PA, 19104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Lic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# 2056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2017/12/19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眼部疾病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雙等位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RPE65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突變相關的視網膜營養不良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雙等位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RPE65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突變相關的視網膜營養不良為罕見疾病，可導致視力喪失。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本品為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經過重組的腺相關病毒，將正常人的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PRE65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基因輸送至視網膜細胞，使患者視力得到改善。</w:t>
            </w:r>
          </w:p>
        </w:tc>
      </w:tr>
      <w:tr w:rsidR="00697D69" w:rsidRPr="00603FAE" w:rsidTr="008A75B6">
        <w:trPr>
          <w:trHeight w:val="97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Vernakalant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Hydrochloride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Cardiome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UK Limited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歐盟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2010/9/1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心腦血管疾病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Voltage-gated sodium channels,KCNH2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心房顫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本品為首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個治療藥物，且具有明確的療效。</w:t>
            </w:r>
          </w:p>
        </w:tc>
      </w:tr>
      <w:tr w:rsidR="00697D69" w:rsidRPr="00603FAE" w:rsidTr="008A75B6">
        <w:trPr>
          <w:trHeight w:val="133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Vorapaxar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Merck Sharp And Dohme Corp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2014/5/8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心腦血管疾病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PAR-1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心肌梗塞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周邊動脈血管疾病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血栓性心血管病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本品為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全新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治療靶點藥物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，療效明顯，且優於現有治療藥物。</w:t>
            </w:r>
          </w:p>
        </w:tc>
      </w:tr>
      <w:tr w:rsidR="00697D69" w:rsidRPr="00603FAE" w:rsidTr="008A75B6">
        <w:trPr>
          <w:trHeight w:val="3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Ledipasvir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And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Sofosbuvir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Gilead Sciences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2014/10/10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感染性疾病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NS5B,NS5A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丙肝</w:t>
            </w:r>
            <w:proofErr w:type="gramEnd"/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本品為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全口服，治療基因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1b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型丙肝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藥物，療效可達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90%</w:t>
            </w: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以上。</w:t>
            </w:r>
          </w:p>
        </w:tc>
      </w:tr>
      <w:tr w:rsidR="00697D69" w:rsidRPr="00603FAE" w:rsidTr="008A75B6">
        <w:trPr>
          <w:trHeight w:val="3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Sofosbuvir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Velpatasvir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Voxilaprevir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GILEADSCIENCESINC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2017/7/18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感染性疾病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NS3/NS4A; NS5B; NS5A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丙肝</w:t>
            </w:r>
            <w:proofErr w:type="gramEnd"/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本品用於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對現有治療藥物無效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的丙肝治療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，為突破性治療藥物。</w:t>
            </w:r>
          </w:p>
        </w:tc>
      </w:tr>
      <w:tr w:rsidR="00697D69" w:rsidRPr="00603FAE" w:rsidTr="008A75B6">
        <w:trPr>
          <w:trHeight w:val="874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Elvitegravir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Cobicistat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Emtricitabine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, And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Tenofovir</w:t>
            </w:r>
            <w:proofErr w:type="spell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Alafenamide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GileadSciencesInc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美國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2015/11/5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感染性疾病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CYP3A; pol; RT; HIV integrase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愛滋病</w:t>
            </w:r>
            <w:proofErr w:type="gramEnd"/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69" w:rsidRPr="0074075C" w:rsidRDefault="00697D69" w:rsidP="008A75B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本品用於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對現有</w:t>
            </w:r>
            <w:proofErr w:type="gramStart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愛滋病病毒耐藥的</w:t>
            </w:r>
            <w:proofErr w:type="gramEnd"/>
            <w:r w:rsidRPr="00603F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治療，具有明顯的臨床治療優勢。</w:t>
            </w:r>
          </w:p>
        </w:tc>
      </w:tr>
    </w:tbl>
    <w:p w:rsidR="00995E1A" w:rsidRPr="00697D69" w:rsidRDefault="00995E1A">
      <w:bookmarkStart w:id="0" w:name="_GoBack"/>
      <w:bookmarkEnd w:id="0"/>
    </w:p>
    <w:sectPr w:rsidR="00995E1A" w:rsidRPr="00697D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69"/>
    <w:rsid w:val="00697D69"/>
    <w:rsid w:val="0099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1414</Words>
  <Characters>8062</Characters>
  <Application>Microsoft Office Word</Application>
  <DocSecurity>0</DocSecurity>
  <Lines>67</Lines>
  <Paragraphs>18</Paragraphs>
  <ScaleCrop>false</ScaleCrop>
  <Company/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劉丹琪@研究企劃組</dc:creator>
  <cp:lastModifiedBy>劉丹琪@研究企劃組</cp:lastModifiedBy>
  <cp:revision>1</cp:revision>
  <dcterms:created xsi:type="dcterms:W3CDTF">2018-08-14T04:20:00Z</dcterms:created>
  <dcterms:modified xsi:type="dcterms:W3CDTF">2018-08-14T04:21:00Z</dcterms:modified>
</cp:coreProperties>
</file>